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Cláusulas Preambulatorias</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cláusulas preambulatorias forman el primer grupo en una resolución. Después de cada oración siempre terminan con una coma (,). Aunque las cláusulas preambulatorias no son la parte más importante de la resolución, tienen un papel importante. Las cláusulas establecen la importancia de un tema por medio de explicar el problema y citar referencias a resoluciones anteriores, tratados, conferencias, etc. Asegúrese de que no solo cite una resolución, sino explique de qué se trata. Y por último,  al escribir una resolución las frases preambulatorias deben estar en itálicos.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Cláusulas Preambulatorias</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tl w:val="0"/>
        </w:rPr>
      </w:r>
    </w:p>
    <w:tbl>
      <w:tblPr>
        <w:tblStyle w:val="Table1"/>
        <w:tblW w:w="94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195"/>
        <w:gridCol w:w="3060"/>
        <w:tblGridChange w:id="0">
          <w:tblGrid>
            <w:gridCol w:w="3240"/>
            <w:gridCol w:w="3195"/>
            <w:gridCol w:w="3060"/>
          </w:tblGrid>
        </w:tblGridChange>
      </w:tblGrid>
      <w:tr>
        <w:trPr>
          <w:cantSplit w:val="0"/>
          <w:trHeight w:val="43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Afirmando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Deseando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Notando con aprobación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Alarmado por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Enfatizando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Observando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Anticipando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Enteramente alarmado por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Preocupación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Aprobando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Enteramente creyendo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Reafirmando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Buscando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Enteramente informado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Reconociendo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Confidente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Expresando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Recordando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Consultando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Expresando satisfacción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Satisfaciendo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Contemplando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Guiado por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Sumamente arrepentido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Convencido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Habiendo adoptado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Sumamente convencido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Creyendo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Habiendo considerado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Tomando en cuenta que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Habiendo dedicado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Teniendo en cuenta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Dando bienvenida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Habiendo examinado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Teniendo en mente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Declarando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Habiendo recibido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Tomando en consideración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Deplorando mas a fondo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Informado por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Viendo con aprecio</w:t>
            </w:r>
          </w:p>
        </w:tc>
      </w:tr>
    </w:tbl>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Ejemplos:</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Afirmando </w:t>
      </w:r>
      <w:r w:rsidDel="00000000" w:rsidR="00000000" w:rsidRPr="00000000">
        <w:rPr>
          <w:rFonts w:ascii="Times New Roman" w:cs="Times New Roman" w:eastAsia="Times New Roman" w:hAnsi="Times New Roman"/>
          <w:rtl w:val="0"/>
        </w:rPr>
        <w:t xml:space="preserve">la necesidad de la soberanía que los Estados Miembros de la Organización de las Naciones Unidas,</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Creyendo</w:t>
      </w:r>
      <w:r w:rsidDel="00000000" w:rsidR="00000000" w:rsidRPr="00000000">
        <w:rPr>
          <w:rFonts w:ascii="Times New Roman" w:cs="Times New Roman" w:eastAsia="Times New Roman" w:hAnsi="Times New Roman"/>
          <w:rtl w:val="0"/>
        </w:rPr>
        <w:t xml:space="preserve"> que los derechos humanos de los niños se violan en guerras civiles en África, </w:t>
      </w:r>
    </w:p>
    <w:p w:rsidR="00000000" w:rsidDel="00000000" w:rsidP="00000000" w:rsidRDefault="00000000" w:rsidRPr="00000000" w14:paraId="00000037">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Enfatizando </w:t>
      </w:r>
      <w:r w:rsidDel="00000000" w:rsidR="00000000" w:rsidRPr="00000000">
        <w:rPr>
          <w:rFonts w:ascii="Times New Roman" w:cs="Times New Roman" w:eastAsia="Times New Roman" w:hAnsi="Times New Roman"/>
          <w:rtl w:val="0"/>
        </w:rPr>
        <w:t xml:space="preserve">resolución UNSC 242 que reconoce los peligros de la adquisición de territorios en Israel y Palestina, </w:t>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Cláusulas Operativas</w:t>
      </w:r>
    </w:p>
    <w:p w:rsidR="00000000" w:rsidDel="00000000" w:rsidP="00000000" w:rsidRDefault="00000000" w:rsidRPr="00000000" w14:paraId="0000003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cláusulas operativas forman el segundo grupo de una resolución. Después de cada oración siempre terminan con un punto y coma (;). Las cláusulas operativas son importantes porque describen la idea o el plan del comité. No solamente describen la respuesta sino cómo se implementa en la vida actual. A veces unas cláusulas pueden ser genéricas para que haya consenso entre todos los Estados Miembros. Al escribir una resolución las frases operativas deben estar en itálicos. Por último, asegúrese de que las cláusulas estén numeradas. </w:t>
      </w:r>
    </w:p>
    <w:p w:rsidR="00000000" w:rsidDel="00000000" w:rsidP="00000000" w:rsidRDefault="00000000" w:rsidRPr="00000000" w14:paraId="0000003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Cláusulas Operativas</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Acepta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Deplora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Incita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Afirma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Designa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Invita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Aprueba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Dirige la atención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Lamenta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Autoriza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Estima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Llama la atención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Alienta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Exhorta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Apoya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Exige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Pide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Celebra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Expresa su deseo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Pide también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Condena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Expresa su reconocimiento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Proclama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Confía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Encomienda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Reafirma </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Confirma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Enfatiza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Recomienda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Considera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Expresa su esperanza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Recuerda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Declara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Felicita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Respalda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Declara en conformidad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Finalmente condena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Solamente afirma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Declara en consecuencia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 resuelto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Solicita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Demanda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Hace un llamado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Toma en cuenta</w:t>
            </w:r>
          </w:p>
        </w:tc>
      </w:tr>
    </w:tbl>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Ejemplos: </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Respalda</w:t>
      </w:r>
      <w:r w:rsidDel="00000000" w:rsidR="00000000" w:rsidRPr="00000000">
        <w:rPr>
          <w:rFonts w:ascii="Times New Roman" w:cs="Times New Roman" w:eastAsia="Times New Roman" w:hAnsi="Times New Roman"/>
          <w:rtl w:val="0"/>
        </w:rPr>
        <w:t xml:space="preserve"> los esfuerzos de gobiernos, organizaciones no gubernamentales (ONG), asociaciones privadas-públicas, para el desarrollo, distribución, e implementación de tecnología asistencial (TA) a niños deshabilitados para:</w:t>
      </w:r>
    </w:p>
    <w:p w:rsidR="00000000" w:rsidDel="00000000" w:rsidP="00000000" w:rsidRDefault="00000000" w:rsidRPr="00000000" w14:paraId="00000070">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Permitirles participar en sus salones y comunidades; </w:t>
      </w:r>
    </w:p>
    <w:p w:rsidR="00000000" w:rsidDel="00000000" w:rsidP="00000000" w:rsidRDefault="00000000" w:rsidRPr="00000000" w14:paraId="00000071">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Aliviar las cargas financieras en comprando TA; </w:t>
      </w:r>
    </w:p>
    <w:p w:rsidR="00000000" w:rsidDel="00000000" w:rsidP="00000000" w:rsidRDefault="00000000" w:rsidRPr="00000000" w14:paraId="0000007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Recomienda</w:t>
      </w:r>
      <w:r w:rsidDel="00000000" w:rsidR="00000000" w:rsidRPr="00000000">
        <w:rPr>
          <w:rFonts w:ascii="Times New Roman" w:cs="Times New Roman" w:eastAsia="Times New Roman" w:hAnsi="Times New Roman"/>
          <w:rtl w:val="0"/>
        </w:rPr>
        <w:t xml:space="preserve"> el uso de TA para la educación básica de niños deshabilitados para proveer los medios necesarios de desarrollo en la educación básica; </w:t>
      </w:r>
    </w:p>
    <w:p w:rsidR="00000000" w:rsidDel="00000000" w:rsidP="00000000" w:rsidRDefault="00000000" w:rsidRPr="00000000" w14:paraId="00000073">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Pide </w:t>
      </w:r>
      <w:r w:rsidDel="00000000" w:rsidR="00000000" w:rsidRPr="00000000">
        <w:rPr>
          <w:rFonts w:ascii="Times New Roman" w:cs="Times New Roman" w:eastAsia="Times New Roman" w:hAnsi="Times New Roman"/>
          <w:rtl w:val="0"/>
        </w:rPr>
        <w:t xml:space="preserve">a los Estados Miembros que aseguren que las personas deshabilitadas reciban los servicios necesarios y cuando se requiera por medio de los impuestos apropiados del sector público;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